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2">
      <w:pPr>
        <w:pStyle w:val="Title"/>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3">
      <w:pPr>
        <w:pStyle w:val="Title"/>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4">
      <w:pPr>
        <w:pStyle w:val="Title"/>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[Title of abstract] Submission Instructions for Conference Topics for the Eco-Campus International Conference 2025</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360" w:line="240" w:lineRule="auto"/>
        <w:jc w:val="righ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First Author</w:t>
      </w:r>
      <w:r w:rsidDel="00000000" w:rsidR="00000000" w:rsidRPr="00000000">
        <w:rPr>
          <w:rFonts w:ascii="Arial" w:cs="Arial" w:eastAsia="Arial" w:hAnsi="Arial"/>
          <w:color w:val="000000"/>
          <w:vertAlign w:val="subscript"/>
          <w:rtl w:val="0"/>
        </w:rPr>
        <w:t xml:space="preserve">1</w:t>
      </w:r>
      <w:r w:rsidDel="00000000" w:rsidR="00000000" w:rsidRPr="00000000">
        <w:rPr>
          <w:rFonts w:ascii="Arial" w:cs="Arial" w:eastAsia="Arial" w:hAnsi="Arial"/>
          <w:color w:val="000000"/>
          <w:vertAlign w:val="superscript"/>
          <w:rtl w:val="0"/>
        </w:rPr>
        <w:t xml:space="preserve">*</w:t>
      </w:r>
      <w:r w:rsidDel="00000000" w:rsidR="00000000" w:rsidRPr="00000000">
        <w:rPr>
          <w:rFonts w:ascii="Arial" w:cs="Arial" w:eastAsia="Arial" w:hAnsi="Arial"/>
          <w:color w:val="000000"/>
          <w:rtl w:val="0"/>
        </w:rPr>
        <w:t xml:space="preserve">, Second Author</w:t>
      </w:r>
      <w:r w:rsidDel="00000000" w:rsidR="00000000" w:rsidRPr="00000000">
        <w:rPr>
          <w:rFonts w:ascii="Arial" w:cs="Arial" w:eastAsia="Arial" w:hAnsi="Arial"/>
          <w:color w:val="000000"/>
          <w:vertAlign w:val="subscript"/>
          <w:rtl w:val="0"/>
        </w:rPr>
        <w:t xml:space="preserve">2</w:t>
      </w:r>
      <w:r w:rsidDel="00000000" w:rsidR="00000000" w:rsidRPr="00000000">
        <w:rPr>
          <w:rFonts w:ascii="Arial" w:cs="Arial" w:eastAsia="Arial" w:hAnsi="Arial"/>
          <w:color w:val="000000"/>
          <w:rtl w:val="0"/>
        </w:rPr>
        <w:t xml:space="preserve"> and Third Author</w:t>
      </w:r>
      <w:r w:rsidDel="00000000" w:rsidR="00000000" w:rsidRPr="00000000">
        <w:rPr>
          <w:rFonts w:ascii="Arial" w:cs="Arial" w:eastAsia="Arial" w:hAnsi="Arial"/>
          <w:color w:val="000000"/>
          <w:vertAlign w:val="subscript"/>
          <w:rtl w:val="0"/>
        </w:rPr>
        <w:t xml:space="preserve">2</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1: R&amp;D Unit or Department of the First A. Author</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Institution, Address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e-mail: FirstAuthor@email</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2: R&amp;D Unit or Department of the Second B. Author and Third C. Author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Institution, Address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e-mail: SecondAuthor@email; ThirdAuthor@email</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840" w:line="240" w:lineRule="auto"/>
        <w:jc w:val="right"/>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i w:val="1"/>
        </w:rPr>
      </w:pPr>
      <w:r w:rsidDel="00000000" w:rsidR="00000000" w:rsidRPr="00000000">
        <w:rPr>
          <w:rFonts w:ascii="Arial" w:cs="Arial" w:eastAsia="Arial" w:hAnsi="Arial"/>
          <w:b w:val="1"/>
          <w:i w:val="1"/>
          <w:smallCaps w:val="1"/>
          <w:rtl w:val="0"/>
        </w:rPr>
        <w:t xml:space="preserve">Keywords:</w:t>
      </w:r>
      <w:r w:rsidDel="00000000" w:rsidR="00000000" w:rsidRPr="00000000">
        <w:rPr>
          <w:rFonts w:ascii="Arial" w:cs="Arial" w:eastAsia="Arial" w:hAnsi="Arial"/>
          <w:i w:val="1"/>
          <w:rtl w:val="0"/>
        </w:rPr>
        <w:t xml:space="preserve"> Instructions, conference, Eco-Campus, GGAF, FEE, IMG-GT UNINET (max. of 6 keywords)</w:t>
      </w:r>
    </w:p>
    <w:p w:rsidR="00000000" w:rsidDel="00000000" w:rsidP="00000000" w:rsidRDefault="00000000" w:rsidRPr="00000000" w14:paraId="00000011">
      <w:pPr>
        <w:rPr>
          <w:rFonts w:ascii="Arial" w:cs="Arial" w:eastAsia="Arial" w:hAnsi="Arial"/>
          <w:b w:val="1"/>
          <w:smallCaps w:val="1"/>
        </w:rPr>
      </w:pPr>
      <w:r w:rsidDel="00000000" w:rsidR="00000000" w:rsidRPr="00000000">
        <w:rPr>
          <w:rFonts w:ascii="Arial" w:cs="Arial" w:eastAsia="Arial" w:hAnsi="Arial"/>
          <w:b w:val="1"/>
          <w:smallCaps w:val="1"/>
          <w:rtl w:val="0"/>
        </w:rPr>
        <w:t xml:space="preserve">Abstract</w:t>
      </w:r>
    </w:p>
    <w:p w:rsidR="00000000" w:rsidDel="00000000" w:rsidP="00000000" w:rsidRDefault="00000000" w:rsidRPr="00000000" w14:paraId="00000012">
      <w:pPr>
        <w:pBdr>
          <w:top w:color="000000" w:space="10" w:sz="4" w:val="single"/>
          <w:left w:color="000000" w:space="10" w:sz="4" w:val="single"/>
          <w:bottom w:color="000000" w:space="10" w:sz="4" w:val="single"/>
          <w:right w:color="000000" w:space="10" w:sz="4" w:val="single"/>
          <w:between w:space="0" w:sz="0" w:val="nil"/>
        </w:pBdr>
        <w:spacing w:after="36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abstract should not exceed </w:t>
      </w:r>
      <w:r w:rsidDel="00000000" w:rsidR="00000000" w:rsidRPr="00000000">
        <w:rPr>
          <w:rFonts w:ascii="Arial" w:cs="Arial" w:eastAsia="Arial" w:hAnsi="Arial"/>
          <w:color w:val="000000"/>
          <w:highlight w:val="yellow"/>
          <w:rtl w:val="0"/>
        </w:rPr>
        <w:t xml:space="preserve">500 words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3">
      <w:pPr>
        <w:pBdr>
          <w:top w:color="000000" w:space="10" w:sz="4" w:val="single"/>
          <w:left w:color="000000" w:space="10" w:sz="4" w:val="single"/>
          <w:bottom w:color="000000" w:space="10" w:sz="4" w:val="single"/>
          <w:right w:color="000000" w:space="10" w:sz="4" w:val="single"/>
          <w:between w:space="0" w:sz="0" w:val="nil"/>
        </w:pBdr>
        <w:spacing w:after="36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document presents the instructions for paper submission to the Eco-Campus International Conference 2025 that will take place in Kuala Lumpur, Malaysia on 1</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-20</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September 2025. This document must be written in </w:t>
      </w:r>
      <w:r w:rsidDel="00000000" w:rsidR="00000000" w:rsidRPr="00000000">
        <w:rPr>
          <w:rFonts w:ascii="Arial" w:cs="Arial" w:eastAsia="Arial" w:hAnsi="Arial"/>
          <w:b w:val="1"/>
          <w:color w:val="000000"/>
          <w:rtl w:val="0"/>
        </w:rPr>
        <w:t xml:space="preserve">English</w:t>
      </w:r>
      <w:r w:rsidDel="00000000" w:rsidR="00000000" w:rsidRPr="00000000">
        <w:rPr>
          <w:rFonts w:ascii="Arial" w:cs="Arial" w:eastAsia="Arial" w:hAnsi="Arial"/>
          <w:color w:val="000000"/>
          <w:rtl w:val="0"/>
        </w:rPr>
        <w:t xml:space="preserve"> and contain: the title of the work, the names, affiliations and authors’ contacts, keywords and abstract. The abstract should be one to two pages (between </w:t>
      </w:r>
      <w:r w:rsidDel="00000000" w:rsidR="00000000" w:rsidRPr="00000000">
        <w:rPr>
          <w:rFonts w:ascii="Arial" w:cs="Arial" w:eastAsia="Arial" w:hAnsi="Arial"/>
          <w:color w:val="000000"/>
          <w:highlight w:val="yellow"/>
          <w:rtl w:val="0"/>
        </w:rPr>
        <w:t xml:space="preserve">200 and 500</w:t>
      </w:r>
      <w:r w:rsidDel="00000000" w:rsidR="00000000" w:rsidRPr="00000000">
        <w:rPr>
          <w:rFonts w:ascii="Arial" w:cs="Arial" w:eastAsia="Arial" w:hAnsi="Arial"/>
          <w:color w:val="000000"/>
          <w:rtl w:val="0"/>
        </w:rPr>
        <w:t xml:space="preserve"> words). It must be written in </w:t>
      </w:r>
      <w:r w:rsidDel="00000000" w:rsidR="00000000" w:rsidRPr="00000000">
        <w:rPr>
          <w:rFonts w:ascii="Arial" w:cs="Arial" w:eastAsia="Arial" w:hAnsi="Arial"/>
          <w:color w:val="000000"/>
          <w:highlight w:val="yellow"/>
          <w:rtl w:val="0"/>
        </w:rPr>
        <w:t xml:space="preserve">Arial, size 12</w:t>
      </w:r>
      <w:r w:rsidDel="00000000" w:rsidR="00000000" w:rsidRPr="00000000">
        <w:rPr>
          <w:rFonts w:ascii="Arial" w:cs="Arial" w:eastAsia="Arial" w:hAnsi="Arial"/>
          <w:color w:val="000000"/>
          <w:rtl w:val="0"/>
        </w:rPr>
        <w:t xml:space="preserve">. Acknowledge and References, if used, should be presented in </w:t>
      </w:r>
      <w:r w:rsidDel="00000000" w:rsidR="00000000" w:rsidRPr="00000000">
        <w:rPr>
          <w:rFonts w:ascii="Arial" w:cs="Arial" w:eastAsia="Arial" w:hAnsi="Arial"/>
          <w:color w:val="000000"/>
          <w:highlight w:val="yellow"/>
          <w:rtl w:val="0"/>
        </w:rPr>
        <w:t xml:space="preserve">Arial, size 10</w:t>
      </w:r>
      <w:r w:rsidDel="00000000" w:rsidR="00000000" w:rsidRPr="00000000">
        <w:rPr>
          <w:rFonts w:ascii="Arial" w:cs="Arial" w:eastAsia="Arial" w:hAnsi="Arial"/>
          <w:color w:val="000000"/>
          <w:rtl w:val="0"/>
        </w:rPr>
        <w:t xml:space="preserve">. Entries must be submitted in </w:t>
      </w:r>
      <w:r w:rsidDel="00000000" w:rsidR="00000000" w:rsidRPr="00000000">
        <w:rPr>
          <w:rFonts w:ascii="Arial" w:cs="Arial" w:eastAsia="Arial" w:hAnsi="Arial"/>
          <w:color w:val="000000"/>
          <w:highlight w:val="yellow"/>
          <w:rtl w:val="0"/>
        </w:rPr>
        <w:t xml:space="preserve">.doc, .docx</w:t>
      </w:r>
      <w:r w:rsidDel="00000000" w:rsidR="00000000" w:rsidRPr="00000000">
        <w:rPr>
          <w:rFonts w:ascii="Arial" w:cs="Arial" w:eastAsia="Arial" w:hAnsi="Arial"/>
          <w:color w:val="000000"/>
          <w:rtl w:val="0"/>
        </w:rPr>
        <w:t xml:space="preserve"> format until </w:t>
      </w:r>
      <w:r w:rsidDel="00000000" w:rsidR="00000000" w:rsidRPr="00000000">
        <w:rPr>
          <w:rFonts w:ascii="Arial" w:cs="Arial" w:eastAsia="Arial" w:hAnsi="Arial"/>
          <w:highlight w:val="yellow"/>
          <w:rtl w:val="0"/>
        </w:rPr>
        <w:t xml:space="preserve">31</w:t>
      </w:r>
      <w:r w:rsidDel="00000000" w:rsidR="00000000" w:rsidRPr="00000000">
        <w:rPr>
          <w:rFonts w:ascii="Arial" w:cs="Arial" w:eastAsia="Arial" w:hAnsi="Arial"/>
          <w:highlight w:val="yellow"/>
          <w:vertAlign w:val="superscript"/>
          <w:rtl w:val="0"/>
        </w:rPr>
        <w:t xml:space="preserve">st</w:t>
      </w:r>
      <w:r w:rsidDel="00000000" w:rsidR="00000000" w:rsidRPr="00000000">
        <w:rPr>
          <w:rFonts w:ascii="Arial" w:cs="Arial" w:eastAsia="Arial" w:hAnsi="Arial"/>
          <w:color w:val="000000"/>
          <w:highlight w:val="yellow"/>
          <w:rtl w:val="0"/>
        </w:rPr>
        <w:t xml:space="preserve"> May 2025</w:t>
      </w:r>
      <w:r w:rsidDel="00000000" w:rsidR="00000000" w:rsidRPr="00000000">
        <w:rPr>
          <w:rFonts w:ascii="Arial" w:cs="Arial" w:eastAsia="Arial" w:hAnsi="Arial"/>
          <w:color w:val="000000"/>
          <w:rtl w:val="0"/>
        </w:rPr>
        <w:t xml:space="preserve">. Figures, tables, citations, and references are optional.</w:t>
      </w:r>
    </w:p>
    <w:p w:rsidR="00000000" w:rsidDel="00000000" w:rsidP="00000000" w:rsidRDefault="00000000" w:rsidRPr="00000000" w14:paraId="00000014">
      <w:pPr>
        <w:pBdr>
          <w:top w:color="000000" w:space="10" w:sz="4" w:val="single"/>
          <w:left w:color="000000" w:space="10" w:sz="4" w:val="single"/>
          <w:bottom w:color="000000" w:space="10" w:sz="4" w:val="single"/>
          <w:right w:color="000000" w:space="10" w:sz="4" w:val="single"/>
          <w:between w:space="0" w:sz="0" w:val="nil"/>
        </w:pBdr>
        <w:spacing w:after="36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official language is English. Proposals can be accepted either as oral presentations or poster presentations. Abstracts for the organisation of workshops may also be accepted.</w:t>
      </w:r>
    </w:p>
    <w:p w:rsidR="00000000" w:rsidDel="00000000" w:rsidP="00000000" w:rsidRDefault="00000000" w:rsidRPr="00000000" w14:paraId="00000015">
      <w:pPr>
        <w:pBdr>
          <w:top w:color="000000" w:space="10" w:sz="4" w:val="single"/>
          <w:left w:color="000000" w:space="10" w:sz="4" w:val="single"/>
          <w:bottom w:color="000000" w:space="10" w:sz="4" w:val="single"/>
          <w:right w:color="000000" w:space="10" w:sz="4" w:val="single"/>
          <w:between w:space="0" w:sz="0" w:val="nil"/>
        </w:pBdr>
        <w:spacing w:after="36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person can be a co-author of several articles as long as each work is presented by a different co-author. Each valid registration authorizes the author to submit up to 2 papers in the conference. Contributions received after the deadline or without a valid registration, may not be included in the book of abstracts.</w:t>
      </w:r>
    </w:p>
    <w:p w:rsidR="00000000" w:rsidDel="00000000" w:rsidP="00000000" w:rsidRDefault="00000000" w:rsidRPr="00000000" w14:paraId="00000016">
      <w:pPr>
        <w:pBdr>
          <w:top w:color="000000" w:space="10" w:sz="4" w:val="single"/>
          <w:left w:color="000000" w:space="10" w:sz="4" w:val="single"/>
          <w:bottom w:color="000000" w:space="10" w:sz="4" w:val="single"/>
          <w:right w:color="000000" w:space="10" w:sz="4" w:val="single"/>
          <w:between w:space="0" w:sz="0" w:val="nil"/>
        </w:pBdr>
        <w:spacing w:after="36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Acknowledgments - should be presented in </w:t>
      </w:r>
      <w:r w:rsidDel="00000000" w:rsidR="00000000" w:rsidRPr="00000000">
        <w:rPr>
          <w:rFonts w:ascii="Arial" w:cs="Arial" w:eastAsia="Arial" w:hAnsi="Arial"/>
          <w:color w:val="000000"/>
          <w:sz w:val="20"/>
          <w:szCs w:val="20"/>
          <w:highlight w:val="yellow"/>
          <w:rtl w:val="0"/>
        </w:rPr>
        <w:t xml:space="preserve">Arial, size 10</w:t>
      </w:r>
      <w:r w:rsidDel="00000000" w:rsidR="00000000" w:rsidRPr="00000000">
        <w:rPr>
          <w:rtl w:val="0"/>
        </w:rPr>
      </w:r>
    </w:p>
    <w:p w:rsidR="00000000" w:rsidDel="00000000" w:rsidP="00000000" w:rsidRDefault="00000000" w:rsidRPr="00000000" w14:paraId="00000017">
      <w:pPr>
        <w:pBdr>
          <w:top w:color="000000" w:space="10" w:sz="4" w:val="single"/>
          <w:left w:color="000000" w:space="10" w:sz="4" w:val="single"/>
          <w:bottom w:color="000000" w:space="10" w:sz="4" w:val="single"/>
          <w:right w:color="000000" w:space="10" w:sz="4" w:val="single"/>
          <w:between w:space="0" w:sz="0" w:val="nil"/>
        </w:pBdr>
        <w:spacing w:after="360" w:line="240" w:lineRule="auto"/>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References – should be presented </w:t>
      </w:r>
      <w:r w:rsidDel="00000000" w:rsidR="00000000" w:rsidRPr="00000000">
        <w:rPr>
          <w:rFonts w:ascii="Arial" w:cs="Arial" w:eastAsia="Arial" w:hAnsi="Arial"/>
          <w:color w:val="000000"/>
          <w:sz w:val="20"/>
          <w:szCs w:val="20"/>
          <w:highlight w:val="yellow"/>
          <w:rtl w:val="0"/>
        </w:rPr>
        <w:t xml:space="preserve">in Arial font size 10</w:t>
      </w:r>
      <w:r w:rsidDel="00000000" w:rsidR="00000000" w:rsidRPr="00000000">
        <w:rPr>
          <w:rFonts w:ascii="Arial" w:cs="Arial" w:eastAsia="Arial" w:hAnsi="Arial"/>
          <w:color w:val="000000"/>
          <w:sz w:val="20"/>
          <w:szCs w:val="20"/>
          <w:rtl w:val="0"/>
        </w:rPr>
        <w:t xml:space="preserve"> (APA 7th Edition citat</w:t>
      </w:r>
      <w:r w:rsidDel="00000000" w:rsidR="00000000" w:rsidRPr="00000000">
        <w:rPr>
          <w:rFonts w:ascii="Arial" w:cs="Arial" w:eastAsia="Arial" w:hAnsi="Arial"/>
          <w:sz w:val="20"/>
          <w:szCs w:val="20"/>
          <w:rtl w:val="0"/>
        </w:rPr>
        <w:t xml:space="preserve">ion</w:t>
      </w:r>
      <w:r w:rsidDel="00000000" w:rsidR="00000000" w:rsidRPr="00000000">
        <w:rPr>
          <w:rFonts w:ascii="Arial" w:cs="Arial" w:eastAsia="Arial" w:hAnsi="Arial"/>
          <w:color w:val="000000"/>
          <w:sz w:val="20"/>
          <w:szCs w:val="20"/>
          <w:rtl w:val="0"/>
        </w:rPr>
        <w:t xml:space="preserve"> style)</w:t>
      </w:r>
      <w:r w:rsidDel="00000000" w:rsidR="00000000" w:rsidRPr="00000000">
        <w:rPr>
          <w:rtl w:val="0"/>
        </w:rPr>
      </w:r>
    </w:p>
    <w:p w:rsidR="00000000" w:rsidDel="00000000" w:rsidP="00000000" w:rsidRDefault="00000000" w:rsidRPr="00000000" w14:paraId="00000018">
      <w:pPr>
        <w:spacing w:after="0" w:line="240" w:lineRule="auto"/>
        <w:jc w:val="left"/>
        <w:rPr>
          <w:rFonts w:ascii="Arial" w:cs="Arial" w:eastAsia="Arial" w:hAnsi="Arial"/>
          <w:b w:val="1"/>
          <w:sz w:val="44"/>
          <w:szCs w:val="44"/>
        </w:rPr>
      </w:pPr>
      <w:r w:rsidDel="00000000" w:rsidR="00000000" w:rsidRPr="00000000">
        <w:rPr>
          <w:rFonts w:ascii="Arial" w:cs="Arial" w:eastAsia="Arial" w:hAnsi="Arial"/>
          <w:b w:val="1"/>
          <w:u w:val="single"/>
          <w:rtl w:val="0"/>
        </w:rPr>
        <w:t xml:space="preserve">CONFERENCE TOPICS</w:t>
      </w:r>
      <w:r w:rsidDel="00000000" w:rsidR="00000000" w:rsidRPr="00000000">
        <w:rPr>
          <w:rtl w:val="0"/>
        </w:rPr>
      </w:r>
    </w:p>
    <w:p w:rsidR="00000000" w:rsidDel="00000000" w:rsidP="00000000" w:rsidRDefault="00000000" w:rsidRPr="00000000" w14:paraId="00000019">
      <w:pPr>
        <w:spacing w:after="0" w:line="240" w:lineRule="auto"/>
        <w:jc w:val="left"/>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1A">
      <w:pPr>
        <w:numPr>
          <w:ilvl w:val="0"/>
          <w:numId w:val="1"/>
        </w:numPr>
        <w:spacing w:after="280" w:before="280" w:line="240" w:lineRule="auto"/>
        <w:ind w:left="360" w:hanging="360"/>
        <w:rPr>
          <w:rFonts w:ascii="Calibri" w:cs="Calibri" w:eastAsia="Calibri" w:hAnsi="Calibri"/>
          <w:b w:val="1"/>
          <w:i w:val="1"/>
        </w:rPr>
      </w:pPr>
      <w:r w:rsidDel="00000000" w:rsidR="00000000" w:rsidRPr="00000000">
        <w:rPr>
          <w:rFonts w:ascii="Calibri" w:cs="Calibri" w:eastAsia="Calibri" w:hAnsi="Calibri"/>
          <w:b w:val="1"/>
          <w:rtl w:val="0"/>
        </w:rPr>
        <w:t xml:space="preserve">Mobilising higher education for sustainable development within a “whole-system approach”. </w:t>
      </w:r>
      <w:r w:rsidDel="00000000" w:rsidR="00000000" w:rsidRPr="00000000">
        <w:rPr>
          <w:rFonts w:ascii="Calibri" w:cs="Calibri" w:eastAsia="Calibri" w:hAnsi="Calibri"/>
          <w:i w:val="1"/>
          <w:rtl w:val="0"/>
        </w:rPr>
        <w:t xml:space="preserve">What are the roles of higher education institutions in advancing the objectives of the Greening Education Partnership, across disciplines, sectors and education levels? Discuss opportunities and imperatives for inclusion of multiple viewpoints and marginalised voices in a new “whole-system approach”. </w:t>
      </w:r>
      <w:r w:rsidDel="00000000" w:rsidR="00000000" w:rsidRPr="00000000">
        <w:rPr>
          <w:rtl w:val="0"/>
        </w:rPr>
      </w:r>
    </w:p>
    <w:p w:rsidR="00000000" w:rsidDel="00000000" w:rsidP="00000000" w:rsidRDefault="00000000" w:rsidRPr="00000000" w14:paraId="0000001B">
      <w:pPr>
        <w:numPr>
          <w:ilvl w:val="0"/>
          <w:numId w:val="2"/>
        </w:numPr>
        <w:spacing w:after="280" w:before="280" w:line="240" w:lineRule="auto"/>
        <w:ind w:left="360" w:hanging="360"/>
        <w:rPr>
          <w:rFonts w:ascii="Calibri" w:cs="Calibri" w:eastAsia="Calibri" w:hAnsi="Calibri"/>
          <w:b w:val="1"/>
          <w:i w:val="1"/>
        </w:rPr>
      </w:pPr>
      <w:r w:rsidDel="00000000" w:rsidR="00000000" w:rsidRPr="00000000">
        <w:rPr>
          <w:rFonts w:ascii="Calibri" w:cs="Calibri" w:eastAsia="Calibri" w:hAnsi="Calibri"/>
          <w:b w:val="1"/>
          <w:rtl w:val="0"/>
        </w:rPr>
        <w:t xml:space="preserve">Exploring applied and collaborative strategies for integrating ecosystem restoration into academic programs and campus operations. </w:t>
      </w:r>
      <w:r w:rsidDel="00000000" w:rsidR="00000000" w:rsidRPr="00000000">
        <w:rPr>
          <w:rFonts w:ascii="Calibri" w:cs="Calibri" w:eastAsia="Calibri" w:hAnsi="Calibri"/>
          <w:i w:val="1"/>
          <w:rtl w:val="0"/>
        </w:rPr>
        <w:t xml:space="preserve">What ethical and ontological perspectives are guiding this work (for example; indigenous, biocentric, post-human) and how can they help foster interconnectedness and responsibility? </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1C">
      <w:pPr>
        <w:numPr>
          <w:ilvl w:val="0"/>
          <w:numId w:val="3"/>
        </w:numPr>
        <w:spacing w:after="280" w:before="280" w:line="24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Sharing innovative approaches and success stories from sustainable campus initiatives. </w:t>
      </w:r>
      <w:r w:rsidDel="00000000" w:rsidR="00000000" w:rsidRPr="00000000">
        <w:rPr>
          <w:rFonts w:ascii="Calibri" w:cs="Calibri" w:eastAsia="Calibri" w:hAnsi="Calibri"/>
          <w:i w:val="1"/>
          <w:rtl w:val="0"/>
        </w:rPr>
        <w:t xml:space="preserve">How can good sustainability practices and quality standards in Higher Education be recognised, enhanced and mainstreamed?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D">
      <w:pPr>
        <w:numPr>
          <w:ilvl w:val="0"/>
          <w:numId w:val="4"/>
        </w:numPr>
        <w:spacing w:after="280" w:before="280" w:line="240" w:lineRule="auto"/>
        <w:ind w:left="360" w:hanging="360"/>
        <w:rPr>
          <w:rFonts w:ascii="Calibri" w:cs="Calibri" w:eastAsia="Calibri" w:hAnsi="Calibri"/>
          <w:b w:val="1"/>
          <w:i w:val="1"/>
        </w:rPr>
      </w:pPr>
      <w:r w:rsidDel="00000000" w:rsidR="00000000" w:rsidRPr="00000000">
        <w:rPr>
          <w:rFonts w:ascii="Calibri" w:cs="Calibri" w:eastAsia="Calibri" w:hAnsi="Calibri"/>
          <w:b w:val="1"/>
          <w:rtl w:val="0"/>
        </w:rPr>
        <w:t xml:space="preserve">Explore the impact of government regulations, corporate social responsibility initiatives, and public-private partnerships on higher education's response to the climate crisis. </w:t>
      </w:r>
      <w:r w:rsidDel="00000000" w:rsidR="00000000" w:rsidRPr="00000000">
        <w:rPr>
          <w:rFonts w:ascii="Calibri" w:cs="Calibri" w:eastAsia="Calibri" w:hAnsi="Calibri"/>
          <w:i w:val="1"/>
          <w:rtl w:val="0"/>
        </w:rPr>
        <w:t xml:space="preserve">What opportunities are being found for collaborative learning and transformation across sectors? What are the implications for green careers? </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1E">
      <w:pPr>
        <w:numPr>
          <w:ilvl w:val="0"/>
          <w:numId w:val="5"/>
        </w:numPr>
        <w:spacing w:after="280" w:before="280" w:line="240" w:lineRule="auto"/>
        <w:ind w:left="360" w:hanging="360"/>
        <w:rPr>
          <w:rFonts w:ascii="Calibri" w:cs="Calibri" w:eastAsia="Calibri" w:hAnsi="Calibri"/>
          <w:b w:val="1"/>
          <w:i w:val="1"/>
        </w:rPr>
      </w:pPr>
      <w:r w:rsidDel="00000000" w:rsidR="00000000" w:rsidRPr="00000000">
        <w:rPr>
          <w:rFonts w:ascii="Calibri" w:cs="Calibri" w:eastAsia="Calibri" w:hAnsi="Calibri"/>
          <w:b w:val="1"/>
          <w:rtl w:val="0"/>
        </w:rPr>
        <w:t xml:space="preserve">Analyse the role of vocational schools in preparing students for Green Jobs and advancing the green transformation in various sectors. </w:t>
      </w:r>
      <w:r w:rsidDel="00000000" w:rsidR="00000000" w:rsidRPr="00000000">
        <w:rPr>
          <w:rFonts w:ascii="Calibri" w:cs="Calibri" w:eastAsia="Calibri" w:hAnsi="Calibri"/>
          <w:i w:val="1"/>
          <w:rtl w:val="0"/>
        </w:rPr>
        <w:t xml:space="preserve">Discuss strategies for integrating sustainability competencies into vocational training programs and teacher training. </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1F">
      <w:pPr>
        <w:numPr>
          <w:ilvl w:val="0"/>
          <w:numId w:val="6"/>
        </w:numPr>
        <w:spacing w:after="280" w:before="280" w:line="240" w:lineRule="auto"/>
        <w:ind w:left="360" w:hanging="360"/>
        <w:rPr>
          <w:rFonts w:ascii="Calibri" w:cs="Calibri" w:eastAsia="Calibri" w:hAnsi="Calibri"/>
          <w:b w:val="1"/>
          <w:i w:val="1"/>
        </w:rPr>
      </w:pPr>
      <w:r w:rsidDel="00000000" w:rsidR="00000000" w:rsidRPr="00000000">
        <w:rPr>
          <w:rFonts w:ascii="Calibri" w:cs="Calibri" w:eastAsia="Calibri" w:hAnsi="Calibri"/>
          <w:b w:val="1"/>
          <w:rtl w:val="0"/>
        </w:rPr>
        <w:t xml:space="preserve">Sharing inspiring case-studies and examples of student leadership in campus initiatives, collaborative action, and applied research for sustainability and climate action. </w:t>
      </w:r>
      <w:r w:rsidDel="00000000" w:rsidR="00000000" w:rsidRPr="00000000">
        <w:rPr>
          <w:rFonts w:ascii="Calibri" w:cs="Calibri" w:eastAsia="Calibri" w:hAnsi="Calibri"/>
          <w:i w:val="1"/>
          <w:rtl w:val="0"/>
        </w:rPr>
        <w:t xml:space="preserve">What is the role and responsibility of students in Greening Higher Education and how is this advancing learning (as well as environmental) outcomes? Testimonials and examples from the Young Reporters for the Environment (YRE) programme are welcomed.</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20">
      <w:pPr>
        <w:spacing w:after="0" w:line="240" w:lineRule="auto"/>
        <w:jc w:val="left"/>
        <w:rPr>
          <w:rFonts w:ascii="Arial" w:cs="Arial" w:eastAsia="Arial" w:hAnsi="Arial"/>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headerReference r:id="rId8" w:type="first"/>
      <w:footerReference r:id="rId9" w:type="default"/>
      <w:pgSz w:h="15840" w:w="12240" w:orient="portrait"/>
      <w:pgMar w:bottom="1417" w:top="1828" w:left="1417" w:right="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First A. Author, Second B. Author and Third C. Author</w:t>
    </w:r>
  </w:p>
  <w:p w:rsidR="00000000" w:rsidDel="00000000" w:rsidP="00000000" w:rsidRDefault="00000000" w:rsidRPr="00000000" w14:paraId="00000023">
    <w:pPr>
      <w:pBdr>
        <w:top w:space="0" w:sz="0" w:val="nil"/>
        <w:left w:space="0" w:sz="0" w:val="nil"/>
        <w:bottom w:color="000000" w:space="1" w:sz="6" w:val="single"/>
        <w:right w:space="0" w:sz="0" w:val="nil"/>
        <w:between w:space="0" w:sz="0" w:val="nil"/>
      </w:pBdr>
      <w:tabs>
        <w:tab w:val="center" w:leader="none" w:pos="4536"/>
        <w:tab w:val="right" w:leader="none" w:pos="9072"/>
      </w:tabs>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pBdr>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2047874" cy="615315"/>
              <wp:effectExtent b="0" l="0" r="0" t="0"/>
              <wp:wrapNone/>
              <wp:docPr id="1971742344" name=""/>
              <a:graphic>
                <a:graphicData uri="http://schemas.microsoft.com/office/word/2010/wordprocessingGroup">
                  <wpg:wgp>
                    <wpg:cNvGrpSpPr/>
                    <wpg:grpSpPr>
                      <a:xfrm>
                        <a:off x="4322050" y="3472325"/>
                        <a:ext cx="2047874" cy="615315"/>
                        <a:chOff x="4322050" y="3472325"/>
                        <a:chExt cx="2047900" cy="615350"/>
                      </a:xfrm>
                    </wpg:grpSpPr>
                    <wpg:grpSp>
                      <wpg:cNvGrpSpPr/>
                      <wpg:grpSpPr>
                        <a:xfrm>
                          <a:off x="4322063" y="3472343"/>
                          <a:ext cx="2047874" cy="615315"/>
                          <a:chOff x="152400" y="4448056"/>
                          <a:chExt cx="10128545" cy="3029906"/>
                        </a:xfrm>
                      </wpg:grpSpPr>
                      <wps:wsp>
                        <wps:cNvSpPr/>
                        <wps:cNvPr id="3" name="Shape 3"/>
                        <wps:spPr>
                          <a:xfrm>
                            <a:off x="152400" y="4448056"/>
                            <a:ext cx="10128525" cy="302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152400" y="4448056"/>
                            <a:ext cx="10128545" cy="302990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2047874" cy="615315"/>
              <wp:effectExtent b="0" l="0" r="0" t="0"/>
              <wp:wrapNone/>
              <wp:docPr id="1971742344"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047874" cy="6153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4383874</wp:posOffset>
          </wp:positionH>
          <wp:positionV relativeFrom="paragraph">
            <wp:posOffset>10795</wp:posOffset>
          </wp:positionV>
          <wp:extent cx="441325" cy="420370"/>
          <wp:effectExtent b="0" l="0" r="0" t="0"/>
          <wp:wrapNone/>
          <wp:docPr descr="A green leaf and a symbol&#10;&#10;AI-generated content may be incorrect." id="1971742345" name="image5.png"/>
          <a:graphic>
            <a:graphicData uri="http://schemas.openxmlformats.org/drawingml/2006/picture">
              <pic:pic>
                <pic:nvPicPr>
                  <pic:cNvPr descr="A green leaf and a symbol&#10;&#10;AI-generated content may be incorrect." id="0" name="image5.png"/>
                  <pic:cNvPicPr preferRelativeResize="0"/>
                </pic:nvPicPr>
                <pic:blipFill>
                  <a:blip r:embed="rId3"/>
                  <a:srcRect b="0" l="0" r="0" t="0"/>
                  <a:stretch>
                    <a:fillRect/>
                  </a:stretch>
                </pic:blipFill>
                <pic:spPr>
                  <a:xfrm>
                    <a:off x="0" y="0"/>
                    <a:ext cx="441325" cy="4203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4865204</wp:posOffset>
          </wp:positionH>
          <wp:positionV relativeFrom="paragraph">
            <wp:posOffset>90805</wp:posOffset>
          </wp:positionV>
          <wp:extent cx="781685" cy="271780"/>
          <wp:effectExtent b="0" l="0" r="0" t="0"/>
          <wp:wrapNone/>
          <wp:docPr descr="A black and grey logo&#10;&#10;AI-generated content may be incorrect." id="1971742347" name="image3.png"/>
          <a:graphic>
            <a:graphicData uri="http://schemas.openxmlformats.org/drawingml/2006/picture">
              <pic:pic>
                <pic:nvPicPr>
                  <pic:cNvPr descr="A black and grey logo&#10;&#10;AI-generated content may be incorrect." id="0" name="image3.png"/>
                  <pic:cNvPicPr preferRelativeResize="0"/>
                </pic:nvPicPr>
                <pic:blipFill>
                  <a:blip r:embed="rId4"/>
                  <a:srcRect b="0" l="0" r="0" t="0"/>
                  <a:stretch>
                    <a:fillRect/>
                  </a:stretch>
                </pic:blipFill>
                <pic:spPr>
                  <a:xfrm>
                    <a:off x="0" y="0"/>
                    <a:ext cx="781685" cy="2717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5574030</wp:posOffset>
          </wp:positionH>
          <wp:positionV relativeFrom="paragraph">
            <wp:posOffset>-20153</wp:posOffset>
          </wp:positionV>
          <wp:extent cx="569595" cy="402590"/>
          <wp:effectExtent b="0" l="0" r="0" t="0"/>
          <wp:wrapNone/>
          <wp:docPr descr="A blue rectangular sign with white text and a globe&#10;&#10;AI-generated content may be incorrect." id="1971742346" name="image4.png"/>
          <a:graphic>
            <a:graphicData uri="http://schemas.openxmlformats.org/drawingml/2006/picture">
              <pic:pic>
                <pic:nvPicPr>
                  <pic:cNvPr descr="A blue rectangular sign with white text and a globe&#10;&#10;AI-generated content may be incorrect." id="0" name="image4.png"/>
                  <pic:cNvPicPr preferRelativeResize="0"/>
                </pic:nvPicPr>
                <pic:blipFill>
                  <a:blip r:embed="rId5"/>
                  <a:srcRect b="0" l="0" r="0" t="0"/>
                  <a:stretch>
                    <a:fillRect/>
                  </a:stretch>
                </pic:blipFill>
                <pic:spPr>
                  <a:xfrm>
                    <a:off x="0" y="0"/>
                    <a:ext cx="569595" cy="402590"/>
                  </a:xfrm>
                  <a:prstGeom prst="rect"/>
                  <a:ln/>
                </pic:spPr>
              </pic:pic>
            </a:graphicData>
          </a:graphic>
        </wp:anchor>
      </w:drawing>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Kuala Lumpur, Malaysia</w:t>
      <w:br w:type="textWrapping"/>
      <w:t xml:space="preserve">18</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 20</w:t>
    </w:r>
    <w:r w:rsidDel="00000000" w:rsidR="00000000" w:rsidRPr="00000000">
      <w:rPr>
        <w:rFonts w:ascii="Arial" w:cs="Arial" w:eastAsia="Arial" w:hAnsi="Arial"/>
        <w:color w:val="000000"/>
        <w:sz w:val="20"/>
        <w:szCs w:val="20"/>
        <w:vertAlign w:val="superscript"/>
        <w:rtl w:val="0"/>
      </w:rPr>
      <w:t xml:space="preserve">th</w:t>
    </w:r>
    <w:r w:rsidDel="00000000" w:rsidR="00000000" w:rsidRPr="00000000">
      <w:rPr>
        <w:rFonts w:ascii="Arial" w:cs="Arial" w:eastAsia="Arial" w:hAnsi="Arial"/>
        <w:color w:val="000000"/>
        <w:sz w:val="20"/>
        <w:szCs w:val="20"/>
        <w:rtl w:val="0"/>
      </w:rPr>
      <w:t xml:space="preserve"> September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2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16E16"/>
    <w:pPr>
      <w:spacing w:after="120" w:line="360" w:lineRule="auto"/>
      <w:jc w:val="both"/>
    </w:pPr>
    <w:rPr>
      <w:rFonts w:ascii="Times New Roman" w:cs="Times New Roman" w:eastAsia="Times New Roman" w:hAnsi="Times New Roman"/>
      <w:kern w:val="0"/>
      <w:lang w:eastAsia="en-MY" w:val="en-US"/>
    </w:rPr>
  </w:style>
  <w:style w:type="paragraph" w:styleId="Heading1">
    <w:name w:val="heading 1"/>
    <w:basedOn w:val="Normal"/>
    <w:next w:val="Normal"/>
    <w:link w:val="Heading1Char"/>
    <w:uiPriority w:val="9"/>
    <w:qFormat w:val="1"/>
    <w:rsid w:val="00E16E1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16E1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16E1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16E1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16E1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16E1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16E1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16E1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16E1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16E1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16E1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16E1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16E1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16E1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16E1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16E1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16E1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16E1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16E1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16E1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16E1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16E1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16E1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16E16"/>
    <w:rPr>
      <w:i w:val="1"/>
      <w:iCs w:val="1"/>
      <w:color w:val="404040" w:themeColor="text1" w:themeTint="0000BF"/>
    </w:rPr>
  </w:style>
  <w:style w:type="paragraph" w:styleId="ListParagraph">
    <w:name w:val="List Paragraph"/>
    <w:basedOn w:val="Normal"/>
    <w:uiPriority w:val="34"/>
    <w:qFormat w:val="1"/>
    <w:rsid w:val="00E16E16"/>
    <w:pPr>
      <w:ind w:left="720"/>
      <w:contextualSpacing w:val="1"/>
    </w:pPr>
  </w:style>
  <w:style w:type="character" w:styleId="IntenseEmphasis">
    <w:name w:val="Intense Emphasis"/>
    <w:basedOn w:val="DefaultParagraphFont"/>
    <w:uiPriority w:val="21"/>
    <w:qFormat w:val="1"/>
    <w:rsid w:val="00E16E16"/>
    <w:rPr>
      <w:i w:val="1"/>
      <w:iCs w:val="1"/>
      <w:color w:val="0f4761" w:themeColor="accent1" w:themeShade="0000BF"/>
    </w:rPr>
  </w:style>
  <w:style w:type="paragraph" w:styleId="IntenseQuote">
    <w:name w:val="Intense Quote"/>
    <w:basedOn w:val="Normal"/>
    <w:next w:val="Normal"/>
    <w:link w:val="IntenseQuoteChar"/>
    <w:uiPriority w:val="30"/>
    <w:qFormat w:val="1"/>
    <w:rsid w:val="00E16E1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16E16"/>
    <w:rPr>
      <w:i w:val="1"/>
      <w:iCs w:val="1"/>
      <w:color w:val="0f4761" w:themeColor="accent1" w:themeShade="0000BF"/>
    </w:rPr>
  </w:style>
  <w:style w:type="character" w:styleId="IntenseReference">
    <w:name w:val="Intense Reference"/>
    <w:basedOn w:val="DefaultParagraphFont"/>
    <w:uiPriority w:val="32"/>
    <w:qFormat w:val="1"/>
    <w:rsid w:val="00E16E16"/>
    <w:rPr>
      <w:b w:val="1"/>
      <w:bCs w:val="1"/>
      <w:smallCaps w:val="1"/>
      <w:color w:val="0f4761" w:themeColor="accent1" w:themeShade="0000BF"/>
      <w:spacing w:val="5"/>
    </w:rPr>
  </w:style>
  <w:style w:type="paragraph" w:styleId="Header">
    <w:name w:val="header"/>
    <w:basedOn w:val="Normal"/>
    <w:link w:val="HeaderChar"/>
    <w:uiPriority w:val="99"/>
    <w:unhideWhenUsed w:val="1"/>
    <w:rsid w:val="00C874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C874E8"/>
    <w:rPr>
      <w:rFonts w:ascii="Times New Roman" w:cs="Times New Roman" w:eastAsia="Times New Roman" w:hAnsi="Times New Roman"/>
      <w:kern w:val="0"/>
      <w:lang w:eastAsia="en-MY" w:val="en-US"/>
    </w:rPr>
  </w:style>
  <w:style w:type="paragraph" w:styleId="Footer">
    <w:name w:val="footer"/>
    <w:basedOn w:val="Normal"/>
    <w:link w:val="FooterChar"/>
    <w:uiPriority w:val="99"/>
    <w:unhideWhenUsed w:val="1"/>
    <w:rsid w:val="00C874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C874E8"/>
    <w:rPr>
      <w:rFonts w:ascii="Times New Roman" w:cs="Times New Roman" w:eastAsia="Times New Roman" w:hAnsi="Times New Roman"/>
      <w:kern w:val="0"/>
      <w:lang w:eastAsia="en-MY" w:val="en-US"/>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3.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jGcT4t7uf1/69StEYw+kg/qBw==">CgMxLjA4AHIhMTBHclZOR2pZUXRxRVIwM2Rxbm5UX3F4bmdlTkZuY0xH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2025-03-28T06:56:00Z</dcterms:created>
  <dc:creator>dila mas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a88433f9-59d1-41b0-8c8f-bd8c29ee3c26</vt:lpwstr>
  </property>
</Properties>
</file>